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34" w:h="334" w:hRule="exact" w:wrap="none" w:vAnchor="page" w:hAnchor="page" w:x="1148" w:y="163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Акт</w:t>
      </w:r>
    </w:p>
    <w:p>
      <w:pPr>
        <w:pStyle w:val="Style3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jc w:val="both"/>
        <w:spacing w:before="0" w:after="372" w:line="37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встречной проверки муниципального казенного дошкольного образовательного учреждения «Детский сад №5 г.Беслана» Правобережного района.</w:t>
      </w:r>
    </w:p>
    <w:p>
      <w:pPr>
        <w:pStyle w:val="Style3"/>
        <w:framePr w:w="9634" w:h="12858" w:hRule="exact" w:wrap="none" w:vAnchor="page" w:hAnchor="page" w:x="1148" w:y="1924"/>
        <w:tabs>
          <w:tab w:leader="none" w:pos="6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3" w:line="280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г.Беслан</w:t>
        <w:tab/>
        <w:t>2 декабря 2015 г.</w:t>
      </w:r>
    </w:p>
    <w:p>
      <w:pPr>
        <w:pStyle w:val="Style5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В соответствии с Законом Республики Северная Осетия-Алания № 21-рз от 05.03.2005 г. «О Контрольно-счетной палате Республики Северная Осетия - Алания» на основании Удостоверения № 24 от 21.10.2015 г, ведущим инспектором Арбиевым Э.З., проведена проверка муниципального казенного дошкольного образовательного учреждения «Детский сад№5» Правобережного района по вопросу эффективного и целевого использования бюджетных средств, выделенных муниципальному учреждению.</w:t>
      </w:r>
    </w:p>
    <w:p>
      <w:pPr>
        <w:pStyle w:val="Style7"/>
        <w:numPr>
          <w:ilvl w:val="0"/>
          <w:numId w:val="1"/>
        </w:numPr>
        <w:framePr w:w="9634" w:h="12858" w:hRule="exact" w:wrap="none" w:vAnchor="page" w:hAnchor="page" w:x="1148" w:y="1924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bookmarkStart w:id="0" w:name="bookmark0"/>
      <w:r>
        <w:rPr>
          <w:lang w:val="ru-RU"/>
          <w:w w:val="100"/>
          <w:color w:val="000000"/>
          <w:position w:val="0"/>
        </w:rPr>
        <w:t>Основание проверки:</w:t>
      </w:r>
      <w:bookmarkEnd w:id="0"/>
    </w:p>
    <w:p>
      <w:pPr>
        <w:pStyle w:val="Style5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пункт 1.11 плана работы Контрольно-счетной палаты РСО - Алания на 2015 год, утвержденного решением Коллегии Контрольно-счетной палаты РСО-Алания от 30.12.2014 г. №12 (100).</w:t>
      </w:r>
    </w:p>
    <w:p>
      <w:pPr>
        <w:pStyle w:val="Style7"/>
        <w:numPr>
          <w:ilvl w:val="0"/>
          <w:numId w:val="1"/>
        </w:numPr>
        <w:framePr w:w="9634" w:h="12858" w:hRule="exact" w:wrap="none" w:vAnchor="page" w:hAnchor="page" w:x="1148" w:y="1924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bookmarkStart w:id="1" w:name="bookmark1"/>
      <w:r>
        <w:rPr>
          <w:lang w:val="ru-RU"/>
          <w:w w:val="100"/>
          <w:color w:val="000000"/>
          <w:position w:val="0"/>
        </w:rPr>
        <w:t>Цель проверки:</w:t>
      </w:r>
      <w:bookmarkEnd w:id="1"/>
    </w:p>
    <w:p>
      <w:pPr>
        <w:pStyle w:val="Style5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spacing w:before="0" w:after="370"/>
        <w:ind w:left="20" w:right="20" w:firstLine="0"/>
      </w:pPr>
      <w:r>
        <w:rPr>
          <w:lang w:val="ru-RU"/>
          <w:w w:val="100"/>
          <w:color w:val="000000"/>
          <w:position w:val="0"/>
        </w:rPr>
        <w:t>соблюдение требований бюджетного и налогового законодательства, условий предоставления межбюджетных трансфертов из республиканского бюджета и их целевого использования; целевое и эффективное использование материальных ресурсов и финансовых средств, предоставленных для осуществления отдельных государственных полномочий.</w:t>
      </w:r>
    </w:p>
    <w:p>
      <w:pPr>
        <w:pStyle w:val="Style9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jc w:val="both"/>
        <w:spacing w:before="0" w:after="27" w:line="230" w:lineRule="exact"/>
        <w:ind w:left="20" w:right="0" w:firstLine="700"/>
      </w:pPr>
      <w:r>
        <w:rPr>
          <w:rStyle w:val="CharStyle11"/>
          <w:b/>
          <w:bCs/>
        </w:rPr>
        <w:t xml:space="preserve">Проверяемый период деятельности: </w:t>
      </w:r>
      <w:r>
        <w:rPr>
          <w:rStyle w:val="CharStyle12"/>
          <w:b w:val="0"/>
          <w:bCs w:val="0"/>
        </w:rPr>
        <w:t>выборочно 2014 год.</w:t>
      </w:r>
    </w:p>
    <w:p>
      <w:pPr>
        <w:pStyle w:val="Style5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jc w:val="left"/>
        <w:spacing w:before="0" w:after="313" w:line="230" w:lineRule="exact"/>
        <w:ind w:left="1440" w:right="0" w:firstLine="0"/>
      </w:pPr>
      <w:r>
        <w:rPr>
          <w:rStyle w:val="CharStyle13"/>
        </w:rPr>
        <w:t xml:space="preserve">Сроки проверки: </w:t>
      </w:r>
      <w:r>
        <w:rPr>
          <w:lang w:val="ru-RU"/>
          <w:w w:val="100"/>
          <w:color w:val="000000"/>
          <w:position w:val="0"/>
        </w:rPr>
        <w:t>с 26.11.2015 г. по 02.12.2015г.</w:t>
      </w:r>
    </w:p>
    <w:p>
      <w:pPr>
        <w:pStyle w:val="Style7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Краткая информация о проверяемом объекте:</w:t>
      </w:r>
      <w:bookmarkEnd w:id="2"/>
    </w:p>
    <w:p>
      <w:pPr>
        <w:pStyle w:val="Style5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Муниципальное казенное дошкольное образовательное учреждение «Детский сад №5» Правобережного района РСО-Алания (далее именуемое МКДОУ «Детский сад №5») создано на основании постановления Главы администрации местного самоуправления Правобережного района РСО-Алания от 08.07.2011г. №337.</w:t>
      </w:r>
    </w:p>
    <w:p>
      <w:pPr>
        <w:pStyle w:val="Style5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Учреждение является некоммерческой организацией - муниципальным учреждением, реализующим основную общеобразовательную программу дошкольного образования, тип Учреждения - казенное.</w:t>
      </w:r>
    </w:p>
    <w:p>
      <w:pPr>
        <w:pStyle w:val="Style5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МКДОУ детский сад является юридическим лицом, имеет самостоятельный баланс, лицевые счета в органах казначейства.</w:t>
      </w:r>
    </w:p>
    <w:p>
      <w:pPr>
        <w:pStyle w:val="Style5"/>
        <w:framePr w:w="9634" w:h="12858" w:hRule="exact" w:wrap="none" w:vAnchor="page" w:hAnchor="page" w:x="1148" w:y="192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lang w:val="ru-RU"/>
          <w:w w:val="100"/>
          <w:color w:val="000000"/>
          <w:position w:val="0"/>
        </w:rPr>
        <w:t>Полное наименование: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682" w:h="301" w:hRule="exact" w:wrap="none" w:vAnchor="page" w:hAnchor="page" w:x="1126" w:y="98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Муниципальное казенное дошкольное образовательное учреждение «Детский сад №5 г. Беслан».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Сокращенное наименование Учреждения: МКДОУ «Д/с №5 г.Беслан».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Юридический адрес: г.Беслан, пер.Котовского,6.</w:t>
      </w:r>
    </w:p>
    <w:p>
      <w:pPr>
        <w:pStyle w:val="Style9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Ответственными за проверяемый период являются: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Заведующая МКДОУ «Д/с №5 г.Беслан» Дулаева Ельвира Георгиевна - за период с 01.01.2013г. по 31.01.2014г.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И.о. заведующей МКДОУ «Д/с №5 г.Беслан» за период с 01.02.2014г по 01.02.2015г. (Распоряжение АМС Правобережного района от 28.01.2014г. №17) - Пучкова Наталья Александровна.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Главный бухгалтер Горбатко Вероника Александровна - весь период (Приказ МКДОУ «Д/с №5 г.Беслан» от 01.01.2013г. №84).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Учредителем и собственником имущества Учреждения является муниципальное образование Правобережного района, от имени которого выступает АМС Правобережного района РСО-Алания.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Министерством образования и науки РСО-Алания МКДОУ Д\с №5 выдана лицензия серии 15 №000657 от 20 мая 2013 год, регистрационный №1978, на право ведения образовательной деятельности.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Основными задачами учреждения являются охрана жизни и укрепление здоровья детей, обеспечение интеллектуального, личностного и физического развития ребенка, взаимодействие с семьей для обеспечения полноценного развития ребенка.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В ходе проверки были представлены: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Устав муниципального учреждения;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отчет об исполнении бюджета получателя средств за 2014г;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штатное расписание учреждения;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кассовая книга с кассовыми отчетами и журналом операций по кассе;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банковские документы;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авансовые отчеты;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296"/>
        <w:ind w:left="20" w:right="0" w:firstLine="720"/>
      </w:pPr>
      <w:r>
        <w:rPr>
          <w:lang w:val="ru-RU"/>
          <w:w w:val="100"/>
          <w:color w:val="000000"/>
          <w:position w:val="0"/>
        </w:rPr>
        <w:t>договора с поставщиками и т. д.</w:t>
      </w:r>
    </w:p>
    <w:p>
      <w:pPr>
        <w:pStyle w:val="Style9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 результате выборочной проверки в 2014 году установлено: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Главным распорядителем бюджетных средств - Управлением образования АМС Правобережного района по уведомлению о лимитах бюджетных обязательств местного бюджета на 2014 год МКДОУ выделены лимиты по кодам бюджетной классификации в сумме 14 716,1 тыс. рублей. Расходная часть исполнена на сумму 14 716,1 тыс. рублей, при бюджетных назначениях 14 999,9 тыс. рублей или 98,1 % к бюджетным ассигнованиям. В разрезе КБК выделение средств выглядит следующим образом: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КБК 211 «Заработная плата»: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лимиты бюджетных обязательств -8 398,8 тыс. рублей;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исполнение - 8 398,8 тыс. рублей или 100%;</w:t>
      </w:r>
    </w:p>
    <w:p>
      <w:pPr>
        <w:pStyle w:val="Style5"/>
        <w:framePr w:w="9629" w:h="14496" w:hRule="exact" w:wrap="none" w:vAnchor="page" w:hAnchor="page" w:x="1155" w:y="13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КБК 212 «Прочие выплаты»: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лимиты бюджетных обязательств -43,0 тыс. рублей;</w:t>
      </w:r>
    </w:p>
    <w:p>
      <w:pPr>
        <w:pStyle w:val="Style5"/>
        <w:numPr>
          <w:ilvl w:val="0"/>
          <w:numId w:val="3"/>
        </w:numPr>
        <w:framePr w:w="9629" w:h="14496" w:hRule="exact" w:wrap="none" w:vAnchor="page" w:hAnchor="page" w:x="1155" w:y="136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исполнение - 0,0 тыс. рублей или 0,0%;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662" w:h="306" w:hRule="exact" w:wrap="none" w:vAnchor="page" w:hAnchor="page" w:x="1138" w:y="98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КБК 213 «Начисления на оплату труда»: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лимиты бюджетных обязательств — 2 654,2 тыс. рублей;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исполнение - 2 654,2 тыс. рублей или 100 %;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КБК 221 «Услуги связи»: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лимиты бюджетных обязательств - 15,0 тыс. рублей;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исполнение - 7,5 тыс. рублей или 50,0 %;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КБК 223 «Коммунальные услуги»: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лимиты бюджетных обязательств - 719,0 тыс. рублей;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 xml:space="preserve">исполнение - 695,9 тыс. рублей или 96,8 </w:t>
      </w:r>
      <w:r>
        <w:rPr>
          <w:rStyle w:val="CharStyle16"/>
        </w:rPr>
        <w:t>%;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КБК 225 «Услуги по содержанию имущества»: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лимиты бюджетных обязательств -140,0 тыс. рублей;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исполнение - 40,9 тыс. рублей или 29,2%;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КБК 226 «Прочие работы, услуги»: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лимиты бюджетных обязательств -7,0 тыс. рублей;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исполнение - 0,0 тыс. рублей или 0,0%;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КБК 290 «Прочие расходы»: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лимиты бюджетных обязательств - 395,0 тыс. рублей;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 xml:space="preserve">исполнение -261,0 тыс. рублей или 66,1 </w:t>
      </w:r>
      <w:r>
        <w:rPr>
          <w:rStyle w:val="CharStyle16"/>
        </w:rPr>
        <w:t>%;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КБК 340 «Увеличение стоимости материальных запасов»;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лимиты бюджетных обязательств - 2 628,0 тыс. рублей;</w:t>
      </w:r>
    </w:p>
    <w:p>
      <w:pPr>
        <w:pStyle w:val="Style5"/>
        <w:numPr>
          <w:ilvl w:val="0"/>
          <w:numId w:val="5"/>
        </w:numPr>
        <w:framePr w:w="9614" w:h="14160" w:hRule="exact" w:wrap="none" w:vAnchor="page" w:hAnchor="page" w:x="1162" w:y="1358"/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 xml:space="preserve">исполнение - 2 657,8 тыс. рублей или </w:t>
      </w:r>
      <w:r>
        <w:rPr>
          <w:rStyle w:val="CharStyle17"/>
        </w:rPr>
        <w:t>101%.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300"/>
        <w:ind w:left="20" w:right="20" w:firstLine="420"/>
      </w:pPr>
      <w:r>
        <w:rPr>
          <w:lang w:val="ru-RU"/>
          <w:w w:val="100"/>
          <w:color w:val="000000"/>
          <w:position w:val="0"/>
        </w:rPr>
        <w:t xml:space="preserve">Следует отметить, что основная доля расходов МКДОУ «Детский сад №5» приходится на заработную плату, начисления на заработную плату. Так, в общем объеме расходов доля заработной платы и начислений составляет в 2014 году 75,1 </w:t>
      </w:r>
      <w:r>
        <w:rPr>
          <w:rStyle w:val="CharStyle16"/>
        </w:rPr>
        <w:t>%,</w:t>
      </w:r>
      <w:r>
        <w:rPr>
          <w:lang w:val="ru-RU"/>
          <w:w w:val="100"/>
          <w:color w:val="000000"/>
          <w:position w:val="0"/>
        </w:rPr>
        <w:t xml:space="preserve"> или 11 053,0 тыс. рублей.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Организация бухгалтерского учета.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820"/>
      </w:pPr>
      <w:r>
        <w:rPr>
          <w:lang w:val="ru-RU"/>
          <w:w w:val="100"/>
          <w:color w:val="000000"/>
          <w:position w:val="0"/>
        </w:rPr>
        <w:t>Бухгалтерский учет и отчетность за проверяемый период ведутся в соответствии с Положением «О бухгалтерском учете и отчетности в РФ» №402-ФЗ от 06.12.2011г., Инструкцией о бюджетном учете №157н от 01.12.2010 г. Бухгалтерский учет в учреждении частично автоматизирован - начисление заработной платы и оформление заявок на кассовый расход, заявок на получение наличных денег, составление отчетности в ПФР, ФФМС, ИФНС РФ по РСО-Алания и Фонд социального страхования РСО-Алания.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820"/>
      </w:pPr>
      <w:r>
        <w:rPr>
          <w:lang w:val="ru-RU"/>
          <w:w w:val="100"/>
          <w:color w:val="000000"/>
          <w:position w:val="0"/>
        </w:rPr>
        <w:t>Учет основных средств, кассовых операций ведется в основном на бумажном носителе.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Проверка кассы и кассовых операций.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820"/>
      </w:pPr>
      <w:r>
        <w:rPr>
          <w:lang w:val="ru-RU"/>
          <w:w w:val="100"/>
          <w:color w:val="000000"/>
          <w:position w:val="0"/>
        </w:rPr>
        <w:t>Учет операций по движению наличных денежных средств на счете 02013400 «Касса» в МБДОУ №5 ведется в Журнале операций по счету «Касса» на основании кассовых отчетов.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820"/>
      </w:pPr>
      <w:r>
        <w:rPr>
          <w:lang w:val="ru-RU"/>
          <w:w w:val="100"/>
          <w:color w:val="000000"/>
          <w:position w:val="0"/>
        </w:rPr>
        <w:t>В нарушение п.1.2 Положения Банка России от 12.10.2011г. №373-П, п.2 Указания ЦБ РФ от 11 марта 2014 г. N 3210-У в учреждении не установлен лимит денежной наличности в кассе.</w:t>
      </w:r>
    </w:p>
    <w:p>
      <w:pPr>
        <w:pStyle w:val="Style5"/>
        <w:framePr w:w="9614" w:h="14160" w:hRule="exact" w:wrap="none" w:vAnchor="page" w:hAnchor="page" w:x="1162" w:y="135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20"/>
      </w:pPr>
      <w:r>
        <w:rPr>
          <w:lang w:val="ru-RU"/>
          <w:w w:val="100"/>
          <w:color w:val="000000"/>
          <w:position w:val="0"/>
        </w:rPr>
        <w:t>Кассовая книга прошнурована, пронумерована и скреплена печатью.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672" w:h="306" w:hRule="exact" w:wrap="none" w:vAnchor="page" w:hAnchor="page" w:x="1131" w:y="98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p>
      <w:pPr>
        <w:pStyle w:val="Style9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Проверка выдачи денежных средств под отчет и оформления первичной документации (авансовые отчеты).</w:t>
      </w:r>
    </w:p>
    <w:p>
      <w:pPr>
        <w:pStyle w:val="Style5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Правила выдачи денежных средств под отчет и оформления первичной учетной документации по расчетам с подотчетными лицами определены п.4.4 Положения Банка России от 12.10.2011г. №373-П и п.6.3 Указания ЦБ РФ от 11 марта 2014 г. N 3210-У «О порядке ведения кассовых операций юридическими лицами», Приказом Минфина РФ от 01.12.2010г. №157н.</w:t>
      </w:r>
    </w:p>
    <w:p>
      <w:pPr>
        <w:pStyle w:val="Style5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В соответствии с п. 213 инструкции №157н авансы под отчет выдаются по Приказу № 10\1 от 14.02.2014г. руководителя учреждения на основании письменного заявления получателя с указанием назначения аванса и суммы, на который он выдается. Однако, проверкой установлен факт выдачи средств под отчет без заявлений - обоснований выдачи денежных средств.</w:t>
      </w:r>
    </w:p>
    <w:p>
      <w:pPr>
        <w:pStyle w:val="Style5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Также, в нарушение норм вышеуказанных Положения и Указания установлены факты выдачи денежных средств под отчет лицам, не отчитавшимся по ранее полученным суммам, в том числе:</w:t>
      </w:r>
    </w:p>
    <w:p>
      <w:pPr>
        <w:pStyle w:val="Style5"/>
        <w:numPr>
          <w:ilvl w:val="0"/>
          <w:numId w:val="7"/>
        </w:numPr>
        <w:framePr w:w="9619" w:h="14268" w:hRule="exact" w:wrap="none" w:vAnchor="page" w:hAnchor="page" w:x="1160" w:y="1362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Пучковой Н.А. по расходно-кассовому ордеру №3 от 19.04.2014г. выдана сумма в размере 18,2 тыс. рублей, далее были выданы денежные средства по РКО №4 от 06.05.2014г. в размере 18,2 тыс. рублей и по РКО №5 от 10.05.2014г. в размере 18,2 тыс. рублей, в подотчет.</w:t>
      </w:r>
    </w:p>
    <w:p>
      <w:pPr>
        <w:pStyle w:val="Style5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За полученные денежные средства в размере 54,6 тыс. рублей подотчетное лицо Пучкова Н.А. на момент проверки не отчиталась и факта возврата в кассу денежных средств не установлено. Подотчетному лицу Пучковой Н.А необходимо было либо предоставить авансовый отчет, с подтверждающими документами либо вернуть денежные средства в кассу.</w:t>
      </w:r>
    </w:p>
    <w:p>
      <w:pPr>
        <w:pStyle w:val="Style9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ходе настоящей проверки подотчетным лицом Пучковой Н.А. по приходно-кассовому ордеру №9 от 01.12.2015г. сумма в размере 54,6 тыс. рублей возвращена в кассу МКДОУ «Д\с №5 г. Беслан».</w:t>
      </w:r>
    </w:p>
    <w:p>
      <w:pPr>
        <w:pStyle w:val="Style9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920" w:right="0" w:firstLine="0"/>
      </w:pPr>
      <w:r>
        <w:rPr>
          <w:lang w:val="ru-RU"/>
          <w:w w:val="100"/>
          <w:color w:val="000000"/>
          <w:position w:val="0"/>
        </w:rPr>
        <w:t>Учет оплаты труда.</w:t>
      </w:r>
    </w:p>
    <w:p>
      <w:pPr>
        <w:pStyle w:val="Style5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18"/>
        </w:rPr>
        <w:t>Штатная численность в МКДОУ «Детский сад №5» по состоянию на 01.01.2014 года при количестве групп-7, количестве детей-220, составила 64,56 штатных единиц с месячным фондом оплаты труда 731 203,2 рубля.</w:t>
      </w:r>
    </w:p>
    <w:p>
      <w:pPr>
        <w:pStyle w:val="Style5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rStyle w:val="CharStyle18"/>
        </w:rPr>
        <w:t>Штат сотрудников состоит из:</w:t>
      </w:r>
    </w:p>
    <w:p>
      <w:pPr>
        <w:pStyle w:val="Style5"/>
        <w:numPr>
          <w:ilvl w:val="0"/>
          <w:numId w:val="7"/>
        </w:numPr>
        <w:framePr w:w="9619" w:h="14268" w:hRule="exact" w:wrap="none" w:vAnchor="page" w:hAnchor="page" w:x="1160" w:y="1362"/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rStyle w:val="CharStyle18"/>
        </w:rPr>
        <w:t>административно-руководящего аппарата - 3,0 ставки;</w:t>
      </w:r>
    </w:p>
    <w:p>
      <w:pPr>
        <w:pStyle w:val="Style5"/>
        <w:numPr>
          <w:ilvl w:val="0"/>
          <w:numId w:val="7"/>
        </w:numPr>
        <w:framePr w:w="9619" w:h="14268" w:hRule="exact" w:wrap="none" w:vAnchor="page" w:hAnchor="page" w:x="1160" w:y="1362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rStyle w:val="CharStyle18"/>
        </w:rPr>
        <w:t>педагогического персонала - 29,5 ставки;</w:t>
      </w:r>
    </w:p>
    <w:p>
      <w:pPr>
        <w:pStyle w:val="Style5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100"/>
      </w:pPr>
      <w:r>
        <w:rPr>
          <w:rStyle w:val="CharStyle18"/>
        </w:rPr>
        <w:t>учебно-вспомогательного персонала - 13,0 ставки (младшие воспитатели);</w:t>
      </w:r>
    </w:p>
    <w:p>
      <w:pPr>
        <w:pStyle w:val="Style5"/>
        <w:numPr>
          <w:ilvl w:val="0"/>
          <w:numId w:val="7"/>
        </w:numPr>
        <w:framePr w:w="9619" w:h="14268" w:hRule="exact" w:wrap="none" w:vAnchor="page" w:hAnchor="page" w:x="1160" w:y="1362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rStyle w:val="CharStyle18"/>
        </w:rPr>
        <w:t>обслуживающего персонала - 19,06 ставки.</w:t>
      </w:r>
    </w:p>
    <w:p>
      <w:pPr>
        <w:pStyle w:val="Style5"/>
        <w:framePr w:w="9619" w:h="14268" w:hRule="exact" w:wrap="none" w:vAnchor="page" w:hAnchor="page" w:x="1160" w:y="136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18"/>
        </w:rPr>
        <w:t>Оплата труда работников муниципальных учреждений дошкольного образования и дополнительного образования детей Правобережного района с 1 сентября 2013 года производится по новой системе оплаты труда введенной Постановлением АМС Правобережного района от 23.08.2013 г. №502. Данным постановлением утверждено Положение об отраслевой системе оплаты труда работников муниципальных учреждений дошкольного образования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662" w:h="301" w:hRule="exact" w:wrap="none" w:vAnchor="page" w:hAnchor="page" w:x="1138" w:y="98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5</w:t>
      </w:r>
    </w:p>
    <w:p>
      <w:pPr>
        <w:pStyle w:val="Style5"/>
        <w:framePr w:w="9605" w:h="14511" w:hRule="exact" w:wrap="none" w:vAnchor="page" w:hAnchor="page" w:x="1167" w:y="135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rStyle w:val="CharStyle18"/>
        </w:rPr>
        <w:t>дополнительного образования детей Правобережного района (далее Положение об отраслевой системе оплаты труда).</w:t>
      </w:r>
    </w:p>
    <w:p>
      <w:pPr>
        <w:pStyle w:val="Style5"/>
        <w:framePr w:w="9605" w:h="14511" w:hRule="exact" w:wrap="none" w:vAnchor="page" w:hAnchor="page" w:x="1167" w:y="135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0" w:firstLine="840"/>
      </w:pPr>
      <w:r>
        <w:rPr>
          <w:rStyle w:val="CharStyle18"/>
        </w:rPr>
        <w:t>В ходе выборочной проверки' правильности начисления заработной платы выявлено:</w:t>
      </w:r>
    </w:p>
    <w:p>
      <w:pPr>
        <w:pStyle w:val="Style5"/>
        <w:numPr>
          <w:ilvl w:val="0"/>
          <w:numId w:val="9"/>
        </w:numPr>
        <w:framePr w:w="9605" w:h="14511" w:hRule="exact" w:wrap="none" w:vAnchor="page" w:hAnchor="page" w:x="1167" w:y="1351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согласно п.1.5. Положения об оплате труда, утвержденного вышеназванным постановлением, оплата труда работников конкретного Учреждения устанавливается Положением об оплате труда работников Учреждения. В связи с чем, учителю-логопеду был установлен базовый оклад 4900 рублей, тогда как в Приложении №2 к Постановлению №502 от 23.08.2013 года «О введении отраслевой системы оплаты труда работников муниципальных учреждений дошкольного образования и дополнительного образования детей Правобережного района» установлен оклад 5200 рублей. Обоснований указанному расхождению настоящей проверке не представлено; данное уменьшение повлекло за собой, соответственно, меньший размер выплат стимулирующего и компенсационного характера;</w:t>
      </w:r>
    </w:p>
    <w:p>
      <w:pPr>
        <w:pStyle w:val="Style5"/>
        <w:numPr>
          <w:ilvl w:val="0"/>
          <w:numId w:val="9"/>
        </w:numPr>
        <w:framePr w:w="9605" w:h="14511" w:hRule="exact" w:wrap="none" w:vAnchor="page" w:hAnchor="page" w:x="1167" w:y="1351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согласно пункту 2.1 Положения - заработная плата работников учреждения включает в себя:</w:t>
      </w:r>
    </w:p>
    <w:p>
      <w:pPr>
        <w:pStyle w:val="Style5"/>
        <w:numPr>
          <w:ilvl w:val="0"/>
          <w:numId w:val="9"/>
        </w:numPr>
        <w:framePr w:w="9605" w:h="14511" w:hRule="exact" w:wrap="none" w:vAnchor="page" w:hAnchor="page" w:x="1167" w:y="1351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00"/>
      </w:pPr>
      <w:r>
        <w:rPr>
          <w:rStyle w:val="CharStyle18"/>
        </w:rPr>
        <w:t>базовый оклад (ставку);</w:t>
      </w:r>
    </w:p>
    <w:p>
      <w:pPr>
        <w:pStyle w:val="Style5"/>
        <w:numPr>
          <w:ilvl w:val="0"/>
          <w:numId w:val="9"/>
        </w:numPr>
        <w:framePr w:w="9605" w:h="14511" w:hRule="exact" w:wrap="none" w:vAnchor="page" w:hAnchor="page" w:x="1167" w:y="1351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00"/>
      </w:pPr>
      <w:r>
        <w:rPr>
          <w:rStyle w:val="CharStyle18"/>
        </w:rPr>
        <w:t>выплаты компенсационного характера;</w:t>
      </w:r>
    </w:p>
    <w:p>
      <w:pPr>
        <w:pStyle w:val="Style5"/>
        <w:numPr>
          <w:ilvl w:val="0"/>
          <w:numId w:val="9"/>
        </w:numPr>
        <w:framePr w:w="9605" w:h="14511" w:hRule="exact" w:wrap="none" w:vAnchor="page" w:hAnchor="page" w:x="1167" w:y="1351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00"/>
      </w:pPr>
      <w:r>
        <w:rPr>
          <w:rStyle w:val="CharStyle18"/>
        </w:rPr>
        <w:t>выплаты стимулирующего характера.</w:t>
      </w:r>
    </w:p>
    <w:p>
      <w:pPr>
        <w:pStyle w:val="Style5"/>
        <w:framePr w:w="9605" w:h="14511" w:hRule="exact" w:wrap="none" w:vAnchor="page" w:hAnchor="page" w:x="1167" w:y="135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При проверке штатного расписания на предмет соответствия требованиям пункта 2.1 Положения «Об отраслевой системе оплаты труда» установлено:</w:t>
      </w:r>
    </w:p>
    <w:p>
      <w:pPr>
        <w:pStyle w:val="Style5"/>
        <w:numPr>
          <w:ilvl w:val="0"/>
          <w:numId w:val="9"/>
        </w:numPr>
        <w:framePr w:w="9605" w:h="14511" w:hRule="exact" w:wrap="none" w:vAnchor="page" w:hAnchor="page" w:x="1167" w:y="1351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 xml:space="preserve">компенсационные выплаты, предусмотренные штатным расписанием за вредные условия в сумме 87510 рублей установлены в нарушение пункта 3.2 Положения - без проведения аттестации рабочих мест с целью уточнения наличия условий труда, отклоняющихся от нормальных. Итоги данной аттестации явились бы основанием для применения компенсационных выплат за работу в указанных условиях. </w:t>
      </w:r>
      <w:r>
        <w:rPr>
          <w:rStyle w:val="CharStyle19"/>
        </w:rPr>
        <w:t>В результате сумма 87510 рублей расценивается как неправомерно установленная;</w:t>
      </w:r>
    </w:p>
    <w:p>
      <w:pPr>
        <w:pStyle w:val="Style5"/>
        <w:numPr>
          <w:ilvl w:val="0"/>
          <w:numId w:val="9"/>
        </w:numPr>
        <w:framePr w:w="9605" w:h="14511" w:hRule="exact" w:wrap="none" w:vAnchor="page" w:hAnchor="page" w:x="1167" w:y="1351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в Учреждении в нарушение пункта 4.3 Положения не разработаны критерии и показатели деятельности работников учреждений для установления надбавки стимулирующего характера к базовым окладам;</w:t>
      </w:r>
    </w:p>
    <w:p>
      <w:pPr>
        <w:pStyle w:val="Style5"/>
        <w:numPr>
          <w:ilvl w:val="0"/>
          <w:numId w:val="9"/>
        </w:numPr>
        <w:framePr w:w="9605" w:h="14511" w:hRule="exact" w:wrap="none" w:vAnchor="page" w:hAnchor="page" w:x="1167" w:y="1351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Учреждением представлено Положение о стимулировании труда работников, в котором необходимо было утвердить критерии, позволяющие оценить результативность и качество работы с указанием балов и определением его стоимости при распределении оплаты труда.</w:t>
      </w:r>
    </w:p>
    <w:p>
      <w:pPr>
        <w:pStyle w:val="Style5"/>
        <w:framePr w:w="9605" w:h="14511" w:hRule="exact" w:wrap="none" w:vAnchor="page" w:hAnchor="page" w:x="1167" w:y="135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rStyle w:val="CharStyle18"/>
        </w:rPr>
        <w:t>Однако, в Положении об оплате труда не указаны условия, при которых стимулирующие выплаты не производятся (дисциплинарное взыскание, стаж работы, отсутствие длительного времени на рабочем месте и т.д.), также отсутствуют показатель допустимого состава членов экспертной комиссии, нормы самооценки работника (работник вправе произвести самооценку своей результативности). Кроме того, в Положении не предусмотрено право обжалования работниками оценки экспертной комиссией, в случае несогласия с результатами.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696" w:h="306" w:hRule="exact" w:wrap="none" w:vAnchor="page" w:hAnchor="page" w:x="1122" w:y="98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6</w:t>
      </w:r>
    </w:p>
    <w:p>
      <w:pPr>
        <w:pStyle w:val="Style5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Проверке представлен Приказ о создании экспертной группы с целью установления стимулирующих выплат.</w:t>
      </w:r>
    </w:p>
    <w:p>
      <w:pPr>
        <w:pStyle w:val="Style5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К стимулирующим выплатам относятся выплаты за интенсивность работы и выплаты за высокие результаты и качество выполняемых работ. Данные выплаты по МКДОУ «Детский сад №5 Беслан» за 2014 год составили: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00"/>
      </w:pPr>
      <w:r>
        <w:rPr>
          <w:rStyle w:val="CharStyle18"/>
        </w:rPr>
        <w:t>за интенсивность работы - 866 660 рублей;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за высокие результаты и качество выполняемых работ - 1 727 412 рублей.</w:t>
      </w:r>
    </w:p>
    <w:p>
      <w:pPr>
        <w:pStyle w:val="Style5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20"/>
        </w:rPr>
        <w:t xml:space="preserve">Надбавки за интенсивность работы </w:t>
      </w:r>
      <w:r>
        <w:rPr>
          <w:rStyle w:val="CharStyle18"/>
        </w:rPr>
        <w:t>(пункт 4.5 Положения) устанавливаются работникам Учреждения за интенсивность работы на определенный срок (месяц, квартал, полугодие, 9 месяцев, год). При назначении учитываются: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сложность, интенсивность, специфика деятельности и напряженность работы;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00"/>
      </w:pPr>
      <w:r>
        <w:rPr>
          <w:rStyle w:val="CharStyle18"/>
        </w:rPr>
        <w:t>участие в выполнении важных работ, мероприятий;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00"/>
      </w:pPr>
      <w:r>
        <w:rPr>
          <w:rStyle w:val="CharStyle18"/>
        </w:rPr>
        <w:t>качественные показатели работы;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00"/>
      </w:pPr>
      <w:r>
        <w:rPr>
          <w:rStyle w:val="CharStyle18"/>
        </w:rPr>
        <w:t>обеспечение безотказной и бесперебойной деятельности.</w:t>
      </w:r>
    </w:p>
    <w:p>
      <w:pPr>
        <w:pStyle w:val="Style5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 xml:space="preserve">Надбавка за интенсивность устанавливается в размере </w:t>
      </w:r>
      <w:r>
        <w:rPr>
          <w:rStyle w:val="CharStyle20"/>
        </w:rPr>
        <w:t xml:space="preserve">до 50% от базового </w:t>
      </w:r>
      <w:r>
        <w:rPr>
          <w:rStyle w:val="CharStyle18"/>
        </w:rPr>
        <w:t>оклада (ставки).</w:t>
      </w:r>
    </w:p>
    <w:p>
      <w:pPr>
        <w:pStyle w:val="Style9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" w:right="0" w:firstLine="700"/>
      </w:pPr>
      <w:r>
        <w:rPr>
          <w:rStyle w:val="CharStyle21"/>
          <w:b/>
          <w:bCs/>
        </w:rPr>
        <w:t>Выплаты за высокие результаты и качество выполняемых работ</w:t>
      </w:r>
    </w:p>
    <w:p>
      <w:pPr>
        <w:pStyle w:val="Style5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rStyle w:val="CharStyle18"/>
        </w:rPr>
        <w:t xml:space="preserve">(пункт 4.6 Положения) устанавливаются руководителям и специалистам Учреждений на определенный срок (месяц, квартал, полугодие, 9 месяцев, год) </w:t>
      </w:r>
      <w:r>
        <w:rPr>
          <w:rStyle w:val="CharStyle20"/>
        </w:rPr>
        <w:t xml:space="preserve">в размере до 100% </w:t>
      </w:r>
      <w:r>
        <w:rPr>
          <w:rStyle w:val="CharStyle18"/>
        </w:rPr>
        <w:t>от базового оклада (ставки) при: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соблюдении базовых требований к качеству предоставления государственных услуг, административных регламентов, стандартов, технологий, требований к процедурам при выполнении работ;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качественной подготовке и проведении мероприятий, связанных с деятельностью Учреждения;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отсутствии обращений (жалоб) на действие (бездействие) работника учреждения при выполнении работ;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00"/>
      </w:pPr>
      <w:r>
        <w:rPr>
          <w:rStyle w:val="CharStyle18"/>
        </w:rPr>
        <w:t>наличии высоких показателей оказываемых муниципальных услуг.</w:t>
      </w:r>
    </w:p>
    <w:p>
      <w:pPr>
        <w:pStyle w:val="Style5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00"/>
      </w:pPr>
      <w:r>
        <w:rPr>
          <w:rStyle w:val="CharStyle18"/>
        </w:rPr>
        <w:t>Следует указать, что вышеуказанные выплаты стимулирующего</w:t>
      </w:r>
    </w:p>
    <w:p>
      <w:pPr>
        <w:pStyle w:val="Style5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rStyle w:val="CharStyle18"/>
        </w:rPr>
        <w:t>характера осуществляются по решению руководителя Учреждения по результатам оценки экспертной комиссии выполнения утвержденных критериев и показателей деятельности каждого работника, в пределах фонда оплаты труда. Критерии и показатели деятельности работников учреждения также должны быть утверждены приказом руководителя детского сада (пункт 4.3 Положения).</w:t>
      </w:r>
    </w:p>
    <w:p>
      <w:pPr>
        <w:pStyle w:val="Style5"/>
        <w:framePr w:w="9648" w:h="14168" w:hRule="exact" w:wrap="none" w:vAnchor="page" w:hAnchor="page" w:x="1146" w:y="1341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Однако в нарушение вышеизложенного без соответствующих приказов в учреждении в 2014 году были неправомерно произведены выплаты стимулирующего характера в сумме - 2 594,1 тыс. рублей, в том числе: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00"/>
      </w:pPr>
      <w:r>
        <w:rPr>
          <w:rStyle w:val="CharStyle18"/>
        </w:rPr>
        <w:t>за интенсивность работы - 866,7 тыс. рублей;</w:t>
      </w:r>
    </w:p>
    <w:p>
      <w:pPr>
        <w:pStyle w:val="Style5"/>
        <w:numPr>
          <w:ilvl w:val="0"/>
          <w:numId w:val="11"/>
        </w:numPr>
        <w:framePr w:w="9648" w:h="14168" w:hRule="exact" w:wrap="none" w:vAnchor="page" w:hAnchor="page" w:x="1146" w:y="1341"/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rStyle w:val="CharStyle18"/>
        </w:rPr>
        <w:t>за высокие результаты и качество выполняемых работ - 1 727,4 тыс. рублей.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701" w:h="306" w:hRule="exact" w:wrap="none" w:vAnchor="page" w:hAnchor="page" w:x="1122" w:y="96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7</w:t>
      </w:r>
    </w:p>
    <w:p>
      <w:pPr>
        <w:pStyle w:val="Style5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lang w:val="ru-RU"/>
          <w:w w:val="100"/>
          <w:color w:val="000000"/>
          <w:position w:val="0"/>
        </w:rPr>
        <w:t xml:space="preserve">При составлении штатного расписания допускается превышение сверх установленных Положением №502 размеров надбавки, за интенсивность сверх установленного размера надбавки </w:t>
      </w:r>
      <w:r>
        <w:rPr>
          <w:rStyle w:val="CharStyle22"/>
        </w:rPr>
        <w:t>50°Уо</w:t>
      </w:r>
      <w:r>
        <w:rPr>
          <w:lang w:val="ru-RU"/>
          <w:w w:val="100"/>
          <w:color w:val="000000"/>
          <w:position w:val="0"/>
        </w:rPr>
        <w:t xml:space="preserve"> по Положению, фактически составило 78%, больше положенного на 26 005 рублей (положено - 74 825,0 рублей, заложено - 100 830 рублей)</w:t>
      </w:r>
    </w:p>
    <w:p>
      <w:pPr>
        <w:pStyle w:val="Style5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lang w:val="ru-RU"/>
          <w:w w:val="100"/>
          <w:color w:val="000000"/>
          <w:position w:val="0"/>
        </w:rPr>
        <w:t>В Учреждении в нарушение пункта 4.7 Порядка, отсутствуют приказы руководителя Учреждения о ежемесячной надбавке за выслугу лет, которые осуществляются с момента возникновения права на ее установление.</w:t>
      </w:r>
    </w:p>
    <w:p>
      <w:pPr>
        <w:pStyle w:val="Style9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rStyle w:val="CharStyle23"/>
          <w:b/>
          <w:bCs/>
        </w:rPr>
        <w:t>Учет основных средств.</w:t>
      </w:r>
    </w:p>
    <w:p>
      <w:pPr>
        <w:pStyle w:val="Style5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lang w:val="ru-RU"/>
          <w:w w:val="100"/>
          <w:color w:val="000000"/>
          <w:position w:val="0"/>
        </w:rPr>
        <w:t>Учет основных средств осуществляется на счете 0101000 «Основные средства».</w:t>
      </w:r>
    </w:p>
    <w:p>
      <w:pPr>
        <w:pStyle w:val="Style5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lang w:val="ru-RU"/>
          <w:w w:val="100"/>
          <w:color w:val="000000"/>
          <w:position w:val="0"/>
        </w:rPr>
        <w:t>В нарушение требований Инструкции №157н в Учреждении не ведутся журналы операций по выбытию и перемещению ОС, карточки учета ОС по ф. ОС-6 и другие первичные учетные документы по состоянию и движению ОС. Проверке представлена книга, в которой отражается движение основных средств, с указанием остатка ОС на начало и конец года (оборотка). Начисление амортизации производится своевременно.</w:t>
      </w:r>
    </w:p>
    <w:p>
      <w:pPr>
        <w:pStyle w:val="Style5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00"/>
      </w:pPr>
      <w:r>
        <w:rPr>
          <w:lang w:val="ru-RU"/>
          <w:w w:val="100"/>
          <w:color w:val="000000"/>
          <w:position w:val="0"/>
        </w:rPr>
        <w:t>По данным бухгалтерского учета по состоянию на 01.01.2015 года числятся основные средства в сумме 75 687,4 тыс. рублей, на которые полностью начислена амортизация.</w:t>
      </w:r>
    </w:p>
    <w:p>
      <w:pPr>
        <w:pStyle w:val="Style9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580" w:right="0" w:firstLine="0"/>
      </w:pPr>
      <w:r>
        <w:rPr>
          <w:rStyle w:val="CharStyle23"/>
          <w:b/>
          <w:bCs/>
        </w:rPr>
        <w:t>Учет продуктов питания.</w:t>
      </w:r>
    </w:p>
    <w:p>
      <w:pPr>
        <w:pStyle w:val="Style5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296"/>
        <w:ind w:left="40" w:right="40" w:firstLine="700"/>
      </w:pPr>
      <w:r>
        <w:rPr>
          <w:lang w:val="ru-RU"/>
          <w:w w:val="100"/>
          <w:color w:val="000000"/>
          <w:position w:val="0"/>
        </w:rPr>
        <w:t xml:space="preserve">Контрольно-счетной палатой РСО-Алания во 2 квартале 2015 года по поручению Парламента РСО-Алания была проведена проверка в дошкольных и школьных казенных учреждениях Правобережного района и проведен анализ и дана оценка законности, целесообразности, обоснованности и результативности расходования бюджетных средств, направленных </w:t>
      </w:r>
      <w:r>
        <w:rPr>
          <w:rStyle w:val="CharStyle24"/>
        </w:rPr>
        <w:t xml:space="preserve">в 2014 году </w:t>
      </w:r>
      <w:r>
        <w:rPr>
          <w:lang w:val="ru-RU"/>
          <w:w w:val="100"/>
          <w:color w:val="000000"/>
          <w:position w:val="0"/>
        </w:rPr>
        <w:t>на закупку товаров, работ, услуг для обеспечения государственных и муниципальных нужд в сфере образования и культуры.</w:t>
      </w:r>
    </w:p>
    <w:p>
      <w:pPr>
        <w:pStyle w:val="Style9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400" w:right="0" w:firstLine="0"/>
      </w:pPr>
      <w:r>
        <w:rPr>
          <w:rStyle w:val="CharStyle23"/>
          <w:b/>
          <w:bCs/>
        </w:rPr>
        <w:t>Заключение</w:t>
      </w:r>
    </w:p>
    <w:p>
      <w:pPr>
        <w:pStyle w:val="Style5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40" w:firstLine="700"/>
      </w:pPr>
      <w:r>
        <w:rPr>
          <w:lang w:val="ru-RU"/>
          <w:w w:val="100"/>
          <w:color w:val="000000"/>
          <w:position w:val="0"/>
        </w:rPr>
        <w:t>1. Бухгалтерский учет ведется с нарушениями требований Федерального закона от 06.12.2011 г. №402-ФЗ «О бухгалтерском учете»:</w:t>
      </w:r>
    </w:p>
    <w:p>
      <w:pPr>
        <w:pStyle w:val="Style5"/>
        <w:numPr>
          <w:ilvl w:val="0"/>
          <w:numId w:val="13"/>
        </w:numPr>
        <w:framePr w:w="9648" w:h="14492" w:hRule="exact" w:wrap="none" w:vAnchor="page" w:hAnchor="page" w:x="1146" w:y="1334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40" w:firstLine="700"/>
      </w:pPr>
      <w:r>
        <w:rPr>
          <w:lang w:val="ru-RU"/>
          <w:w w:val="100"/>
          <w:color w:val="000000"/>
          <w:position w:val="0"/>
        </w:rPr>
        <w:t>в нарушение п.1.2 Положения Банка России от 12.10.2011г. №373-П, п.2 Указания ЦБ РФ от 11 марта 2014 г. N 3210-У в учреждении не установлен лимит наличия денежной наличности в кассе.</w:t>
      </w:r>
    </w:p>
    <w:p>
      <w:pPr>
        <w:pStyle w:val="Style5"/>
        <w:numPr>
          <w:ilvl w:val="0"/>
          <w:numId w:val="13"/>
        </w:numPr>
        <w:framePr w:w="9648" w:h="14492" w:hRule="exact" w:wrap="none" w:vAnchor="page" w:hAnchor="page" w:x="1146" w:y="1334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40" w:firstLine="700"/>
      </w:pPr>
      <w:r>
        <w:rPr>
          <w:lang w:val="ru-RU"/>
          <w:w w:val="100"/>
          <w:color w:val="000000"/>
          <w:position w:val="0"/>
        </w:rPr>
        <w:t>в нарушение п.4.4 Положения Банка России от 12.10.2011г. №373-П и п.6.3 Указания ЦБ РФ от 11 марта 2014 г. N 3210-У авансовые отчеты не содержат обязательных реквизитов оформления первичных документов;</w:t>
      </w:r>
    </w:p>
    <w:p>
      <w:pPr>
        <w:pStyle w:val="Style5"/>
        <w:numPr>
          <w:ilvl w:val="0"/>
          <w:numId w:val="13"/>
        </w:numPr>
        <w:framePr w:w="9648" w:h="14492" w:hRule="exact" w:wrap="none" w:vAnchor="page" w:hAnchor="page" w:x="1146" w:y="1334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40" w:firstLine="700"/>
      </w:pPr>
      <w:r>
        <w:rPr>
          <w:lang w:val="ru-RU"/>
          <w:w w:val="100"/>
          <w:color w:val="000000"/>
          <w:position w:val="0"/>
        </w:rPr>
        <w:t>Пучковой Н.А. по расходно-кассовому ордеру №3 от 19.04.2014г. выдана сумма в размере 18,2 тыс. рублей были выданы денежные средства по РКО №4 от 06.05.2014г. в размере 18,2 тыс. рублей и РКО №5 от 10.05.2014г. в размере 18,2 тыс. рублей, в подотчет.</w:t>
      </w:r>
    </w:p>
    <w:p>
      <w:pPr>
        <w:pStyle w:val="Style5"/>
        <w:framePr w:w="9648" w:h="14492" w:hRule="exact" w:wrap="none" w:vAnchor="page" w:hAnchor="page" w:x="1146" w:y="133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40" w:firstLine="700"/>
      </w:pPr>
      <w:r>
        <w:rPr>
          <w:lang w:val="ru-RU"/>
          <w:w w:val="100"/>
          <w:color w:val="000000"/>
          <w:position w:val="0"/>
        </w:rPr>
        <w:t>За полученные денежные средства в размере 54,6 тыс. рублей подотчетное лицо Пучкова Н.А. на момент проверки не отчиталась и факта возврата в кассу денежных средств не установлено. Подотчетному лицу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5888" w:y="93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8</w:t>
      </w:r>
    </w:p>
    <w:p>
      <w:pPr>
        <w:pStyle w:val="Style5"/>
        <w:framePr w:w="9610" w:h="10992" w:hRule="exact" w:wrap="none" w:vAnchor="page" w:hAnchor="page" w:x="1165" w:y="129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Пучковой Н.А необходимо было либо предоставить авансовый отчет, с подтверждающими документами либо вернуть денежные средства в кассу.</w:t>
      </w:r>
    </w:p>
    <w:p>
      <w:pPr>
        <w:pStyle w:val="Style5"/>
        <w:framePr w:w="9610" w:h="10992" w:hRule="exact" w:wrap="none" w:vAnchor="page" w:hAnchor="page" w:x="1165" w:y="129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 xml:space="preserve">В ходе настоящей проверки подотчетным лицом Пучковой Н.А. по приходно-кассовому ордеру №9 от 01.12.2015г. сумма в размере </w:t>
      </w:r>
      <w:r>
        <w:rPr>
          <w:rStyle w:val="CharStyle20"/>
        </w:rPr>
        <w:t>54,6 тыс. рублей возвращена в кассу МКДОУ «Д\с №5 г. Беслан».</w:t>
      </w:r>
    </w:p>
    <w:p>
      <w:pPr>
        <w:pStyle w:val="Style5"/>
        <w:numPr>
          <w:ilvl w:val="0"/>
          <w:numId w:val="15"/>
        </w:numPr>
        <w:framePr w:w="9610" w:h="10992" w:hRule="exact" w:wrap="none" w:vAnchor="page" w:hAnchor="page" w:x="1165" w:y="1290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 составлении штатного расписания допускается превышение сверх установленных Положением №502 размеров надбавки, за интенсивность сверх установленного размера надбавки 50% по Положению, фактически составило 78%, больше положенного на 26 005 рублей (положено - 74 825,0 рублей, заложено - 100 830 рублей).</w:t>
      </w:r>
    </w:p>
    <w:p>
      <w:pPr>
        <w:pStyle w:val="Style5"/>
        <w:framePr w:w="9610" w:h="10992" w:hRule="exact" w:wrap="none" w:vAnchor="page" w:hAnchor="page" w:x="1165" w:y="129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 проверке штатного расписания на предмет соответствия требованиям пункта 2.1 Положения «Об отраслевой системе оплаты труда» установлено:</w:t>
      </w:r>
    </w:p>
    <w:p>
      <w:pPr>
        <w:pStyle w:val="Style5"/>
        <w:numPr>
          <w:ilvl w:val="0"/>
          <w:numId w:val="17"/>
        </w:numPr>
        <w:framePr w:w="9610" w:h="10992" w:hRule="exact" w:wrap="none" w:vAnchor="page" w:hAnchor="page" w:x="1165" w:y="1290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не разработаны критерии и показатели деятельности работников учреждений для установления надбавки стимулирующего характера;</w:t>
      </w:r>
    </w:p>
    <w:p>
      <w:pPr>
        <w:pStyle w:val="Style5"/>
        <w:numPr>
          <w:ilvl w:val="0"/>
          <w:numId w:val="17"/>
        </w:numPr>
        <w:framePr w:w="9610" w:h="10992" w:hRule="exact" w:wrap="none" w:vAnchor="page" w:hAnchor="page" w:x="1165" w:y="1290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не издан приказ руководителя о ежемесячной надбавке за выслугу лет.</w:t>
      </w:r>
    </w:p>
    <w:p>
      <w:pPr>
        <w:pStyle w:val="Style5"/>
        <w:numPr>
          <w:ilvl w:val="0"/>
          <w:numId w:val="17"/>
        </w:numPr>
        <w:framePr w:w="9610" w:h="10992" w:hRule="exact" w:wrap="none" w:vAnchor="page" w:hAnchor="page" w:x="1165" w:y="1290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учителю-логопеду был установлен базовый оклад 4900 рублей, тогда как в Приложении №2 к Постановлению №502 от 23.08.2013 года «О введении отраслевой системы оплаты труда работников муниципальных учреждений дошкольного образования и дополнительного образования детей Правобережного района» установлен оклад 5200 рублей. Обоснований указанному расхождению настоящей проверке не представлено; данное уменьшение повлекло за собой, соответственно, меньший размер выплат стимулирующего и компенсационного характера.</w:t>
      </w:r>
    </w:p>
    <w:p>
      <w:pPr>
        <w:pStyle w:val="Style5"/>
        <w:numPr>
          <w:ilvl w:val="0"/>
          <w:numId w:val="15"/>
        </w:numPr>
        <w:framePr w:w="9610" w:h="10992" w:hRule="exact" w:wrap="none" w:vAnchor="page" w:hAnchor="page" w:x="1165" w:y="1290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 xml:space="preserve">В нарушение пункта 3.2, 4.3, 4.4, 4.5, 4.6 Положения об отраслевой системе оплаты труда, утвержденного постановлением АМС Правобережного района от 23.08.2013 года №502 Учреждением в 2014 году было допущено неправомерное расходование средств бюджета на общую сумму - 2 </w:t>
      </w:r>
      <w:r>
        <w:rPr>
          <w:rStyle w:val="CharStyle20"/>
        </w:rPr>
        <w:t xml:space="preserve">681,6 тыс. рублей, </w:t>
      </w:r>
      <w:r>
        <w:rPr>
          <w:lang w:val="ru-RU"/>
          <w:w w:val="100"/>
          <w:color w:val="000000"/>
          <w:position w:val="0"/>
        </w:rPr>
        <w:t>в том числе:</w:t>
      </w:r>
    </w:p>
    <w:p>
      <w:pPr>
        <w:pStyle w:val="Style5"/>
        <w:numPr>
          <w:ilvl w:val="0"/>
          <w:numId w:val="17"/>
        </w:numPr>
        <w:framePr w:w="9610" w:h="10992" w:hRule="exact" w:wrap="none" w:vAnchor="page" w:hAnchor="page" w:x="1165" w:y="1290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 xml:space="preserve">неправомерно произведены выплаты стимулирующего характера, а именно за интенсивность работы - </w:t>
      </w:r>
      <w:r>
        <w:rPr>
          <w:rStyle w:val="CharStyle20"/>
        </w:rPr>
        <w:t xml:space="preserve">866,7 тыс. рублей, </w:t>
      </w:r>
      <w:r>
        <w:rPr>
          <w:lang w:val="ru-RU"/>
          <w:w w:val="100"/>
          <w:color w:val="000000"/>
          <w:position w:val="0"/>
        </w:rPr>
        <w:t xml:space="preserve">за высокие результаты и качество выполняемых работ - </w:t>
      </w:r>
      <w:r>
        <w:rPr>
          <w:rStyle w:val="CharStyle20"/>
        </w:rPr>
        <w:t>1 727,4 тыс. рублей;</w:t>
      </w:r>
    </w:p>
    <w:p>
      <w:pPr>
        <w:pStyle w:val="Style5"/>
        <w:numPr>
          <w:ilvl w:val="0"/>
          <w:numId w:val="17"/>
        </w:numPr>
        <w:framePr w:w="9610" w:h="10992" w:hRule="exact" w:wrap="none" w:vAnchor="page" w:hAnchor="page" w:x="1165" w:y="1290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 xml:space="preserve">неправомерно произведены выплаты компенсационного характера, за вредные условия в сумме </w:t>
      </w:r>
      <w:r>
        <w:rPr>
          <w:rStyle w:val="CharStyle20"/>
        </w:rPr>
        <w:t>87,5 тыс. рублей.</w:t>
      </w:r>
    </w:p>
    <w:p>
      <w:pPr>
        <w:pStyle w:val="Style5"/>
        <w:framePr w:w="4421" w:h="701" w:hRule="exact" w:wrap="none" w:vAnchor="page" w:hAnchor="page" w:x="1832" w:y="1254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00" w:right="100" w:firstLine="0"/>
      </w:pPr>
      <w:r>
        <w:rPr>
          <w:lang w:val="ru-RU"/>
          <w:w w:val="100"/>
          <w:color w:val="000000"/>
          <w:position w:val="0"/>
        </w:rPr>
        <w:t>Ведущий инспектор Контрольно-счетной палаты РСО-А</w:t>
      </w:r>
    </w:p>
    <w:p>
      <w:pPr>
        <w:pStyle w:val="Style5"/>
        <w:framePr w:w="4565" w:h="1973" w:hRule="exact" w:wrap="none" w:vAnchor="page" w:hAnchor="page" w:x="5370" w:y="12352"/>
        <w:tabs>
          <w:tab w:leader="none" w:pos="3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РСО-А</w:t>
        <w:tab/>
        <w:t>Э.З.Арбиев</w:t>
      </w:r>
    </w:p>
    <w:p>
      <w:pPr>
        <w:pStyle w:val="Style5"/>
        <w:framePr w:w="4565" w:h="1973" w:hRule="exact" w:wrap="none" w:vAnchor="page" w:hAnchor="page" w:x="5370" w:y="12352"/>
        <w:tabs>
          <w:tab w:leader="none" w:pos="25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120" w:right="0" w:firstLine="0"/>
      </w:pPr>
      <w:r>
        <w:rPr>
          <w:rStyle w:val="CharStyle25"/>
          <w:lang w:val="ru-RU"/>
        </w:rPr>
        <w:t>т</w:t>
      </w:r>
      <w:r>
        <w:rPr>
          <w:lang w:val="ru-RU"/>
          <w:w w:val="100"/>
          <w:color w:val="000000"/>
          <w:position w:val="0"/>
        </w:rPr>
        <w:tab/>
        <w:t>^^/е.Г. Дудаева</w:t>
      </w:r>
    </w:p>
    <w:p>
      <w:pPr>
        <w:framePr w:wrap="none" w:vAnchor="page" w:hAnchor="page" w:x="6834" w:y="12481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pt;height:45pt;">
            <v:imagedata r:id="rId5" r:href="rId6"/>
          </v:shape>
        </w:pict>
      </w:r>
    </w:p>
    <w:p>
      <w:pPr>
        <w:pStyle w:val="Style5"/>
        <w:framePr w:wrap="none" w:vAnchor="page" w:hAnchor="page" w:x="1832" w:y="145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Главный бухгалтер</w:t>
      </w:r>
    </w:p>
    <w:p>
      <w:pPr>
        <w:pStyle w:val="Style5"/>
        <w:framePr w:w="4800" w:h="634" w:hRule="exact" w:wrap="none" w:vAnchor="page" w:hAnchor="page" w:x="1837" w:y="13575"/>
        <w:widowControl w:val="0"/>
        <w:keepNext w:val="0"/>
        <w:keepLines w:val="0"/>
        <w:shd w:val="clear" w:color="auto" w:fill="auto"/>
        <w:bidi w:val="0"/>
        <w:jc w:val="left"/>
        <w:spacing w:before="0" w:after="22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Ознакомлены:</w:t>
      </w:r>
    </w:p>
    <w:p>
      <w:pPr>
        <w:pStyle w:val="Style5"/>
        <w:framePr w:w="4800" w:h="634" w:hRule="exact" w:wrap="none" w:vAnchor="page" w:hAnchor="page" w:x="1837" w:y="1357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Заведующая МБДОУ «Детский</w:t>
      </w:r>
    </w:p>
    <w:p>
      <w:pPr>
        <w:pStyle w:val="Style5"/>
        <w:framePr w:wrap="none" w:vAnchor="page" w:hAnchor="page" w:x="5355" w:y="14526"/>
        <w:tabs>
          <w:tab w:leader="none" w:pos="32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rStyle w:val="CharStyle26"/>
        </w:rPr>
        <w:t>-у</w:t>
      </w:r>
      <w:r>
        <w:rPr>
          <w:rStyle w:val="CharStyle27"/>
          <w:lang w:val="ru-RU"/>
        </w:rPr>
        <w:tab/>
      </w:r>
      <w:r>
        <w:rPr>
          <w:lang w:val="ru-RU"/>
          <w:w w:val="100"/>
          <w:color w:val="000000"/>
          <w:position w:val="0"/>
        </w:rPr>
        <w:t>В.А.Горбатко</w:t>
      </w:r>
    </w:p>
    <w:p>
      <w:pPr>
        <w:framePr w:wrap="none" w:vAnchor="page" w:hAnchor="page" w:x="5677" w:y="13523"/>
        <w:widowControl w:val="0"/>
        <w:rPr>
          <w:sz w:val="0"/>
          <w:szCs w:val="0"/>
        </w:rPr>
      </w:pPr>
      <w:r>
        <w:pict>
          <v:shape id="_x0000_s1027" type="#_x0000_t75" style="width:107pt;height:67pt;">
            <v:imagedata r:id="rId7" r:href="rId8"/>
          </v:shape>
        </w:pict>
      </w:r>
    </w:p>
    <w:p>
      <w:pPr>
        <w:framePr w:wrap="none" w:vAnchor="page" w:hAnchor="page" w:x="2567" w:y="15169"/>
        <w:widowControl w:val="0"/>
        <w:rPr>
          <w:sz w:val="0"/>
          <w:szCs w:val="0"/>
        </w:rPr>
      </w:pPr>
      <w:r>
        <w:pict>
          <v:shape id="_x0000_s1028" type="#_x0000_t75" style="width:329pt;height:37pt;">
            <v:imagedata r:id="rId9" r:href="rId10"/>
          </v:shape>
        </w:pict>
      </w:r>
    </w:p>
    <w:p>
      <w:pPr>
        <w:pStyle w:val="Style28"/>
        <w:framePr w:wrap="none" w:vAnchor="page" w:hAnchor="page" w:x="9402" w:y="1542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2015 г.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0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6"/>
    </w:rPr>
  </w:style>
  <w:style w:type="character" w:customStyle="1" w:styleId="CharStyle6">
    <w:name w:val="Основной текст (11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character" w:customStyle="1" w:styleId="CharStyle8">
    <w:name w:val="Заголовок №3 (3)_"/>
    <w:basedOn w:val="DefaultParagraphFont"/>
    <w:link w:val="Style7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6"/>
    </w:rPr>
  </w:style>
  <w:style w:type="character" w:customStyle="1" w:styleId="CharStyle11">
    <w:name w:val="Основной текст (3) + Интервал 0 pt"/>
    <w:basedOn w:val="CharStyle10"/>
    <w:rPr>
      <w:lang w:val="ru-RU"/>
      <w:w w:val="100"/>
      <w:spacing w:val="8"/>
      <w:color w:val="000000"/>
      <w:position w:val="0"/>
    </w:rPr>
  </w:style>
  <w:style w:type="character" w:customStyle="1" w:styleId="CharStyle12">
    <w:name w:val="Основной текст (3) + Не полужирный,Интервал 0 pt"/>
    <w:basedOn w:val="CharStyle10"/>
    <w:rPr>
      <w:lang w:val="ru-RU"/>
      <w:b/>
      <w:bCs/>
      <w:w w:val="100"/>
      <w:spacing w:val="5"/>
      <w:color w:val="000000"/>
      <w:position w:val="0"/>
    </w:rPr>
  </w:style>
  <w:style w:type="character" w:customStyle="1" w:styleId="CharStyle13">
    <w:name w:val="Основной текст (11) + Полужирный,Интервал 0 pt"/>
    <w:basedOn w:val="CharStyle6"/>
    <w:rPr>
      <w:lang w:val="ru-RU"/>
      <w:b/>
      <w:bCs/>
      <w:w w:val="100"/>
      <w:spacing w:val="8"/>
      <w:color w:val="000000"/>
      <w:position w:val="0"/>
    </w:rPr>
  </w:style>
  <w:style w:type="character" w:customStyle="1" w:styleId="CharStyle15">
    <w:name w:val="Колонтитул_"/>
    <w:basedOn w:val="DefaultParagraphFont"/>
    <w:link w:val="Style14"/>
    <w:rPr>
      <w:lang w:val="1024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Основной текст (11) + Sylfaen,18 pt,Курсив,Интервал 0 pt"/>
    <w:basedOn w:val="CharStyle6"/>
    <w:rPr>
      <w:lang w:val="ru-RU"/>
      <w:i/>
      <w:iCs/>
      <w:sz w:val="36"/>
      <w:szCs w:val="36"/>
      <w:rFonts w:ascii="Sylfaen" w:eastAsia="Sylfaen" w:hAnsi="Sylfaen" w:cs="Sylfaen"/>
      <w:w w:val="100"/>
      <w:spacing w:val="-5"/>
      <w:color w:val="000000"/>
      <w:position w:val="0"/>
    </w:rPr>
  </w:style>
  <w:style w:type="character" w:customStyle="1" w:styleId="CharStyle17">
    <w:name w:val="Основной текст (11) + 16,5 pt,Курсив,Интервал 0 pt"/>
    <w:basedOn w:val="CharStyle6"/>
    <w:rPr>
      <w:lang w:val="ru-RU"/>
      <w:i/>
      <w:iCs/>
      <w:sz w:val="33"/>
      <w:szCs w:val="33"/>
      <w:w w:val="100"/>
      <w:spacing w:val="8"/>
      <w:color w:val="000000"/>
      <w:position w:val="0"/>
    </w:rPr>
  </w:style>
  <w:style w:type="character" w:customStyle="1" w:styleId="CharStyle18">
    <w:name w:val="Основной текст (11) + Интервал 0 pt"/>
    <w:basedOn w:val="CharStyle6"/>
    <w:rPr>
      <w:lang w:val="ru-RU"/>
      <w:w w:val="100"/>
      <w:spacing w:val="4"/>
      <w:color w:val="000000"/>
      <w:position w:val="0"/>
    </w:rPr>
  </w:style>
  <w:style w:type="character" w:customStyle="1" w:styleId="CharStyle19">
    <w:name w:val="Основной текст (11) + Полужирный,Интервал 0 pt"/>
    <w:basedOn w:val="CharStyle6"/>
    <w:rPr>
      <w:lang w:val="ru-RU"/>
      <w:b/>
      <w:bCs/>
      <w:w w:val="100"/>
      <w:spacing w:val="6"/>
      <w:color w:val="000000"/>
      <w:position w:val="0"/>
    </w:rPr>
  </w:style>
  <w:style w:type="character" w:customStyle="1" w:styleId="CharStyle20">
    <w:name w:val="Основной текст (11) + Полужирный,Интервал 0 pt"/>
    <w:basedOn w:val="CharStyle6"/>
    <w:rPr>
      <w:lang w:val="ru-RU"/>
      <w:b/>
      <w:bCs/>
      <w:w w:val="100"/>
      <w:spacing w:val="6"/>
      <w:color w:val="000000"/>
      <w:position w:val="0"/>
    </w:rPr>
  </w:style>
  <w:style w:type="character" w:customStyle="1" w:styleId="CharStyle21">
    <w:name w:val="Основной текст (3)"/>
    <w:basedOn w:val="CharStyle10"/>
    <w:rPr>
      <w:lang w:val="ru-RU"/>
      <w:w w:val="100"/>
      <w:color w:val="000000"/>
      <w:position w:val="0"/>
    </w:rPr>
  </w:style>
  <w:style w:type="character" w:customStyle="1" w:styleId="CharStyle22">
    <w:name w:val="Основной текст (11) + Book Antiqua,10 pt,Полужирный,Курсив,Интервал -1 pt"/>
    <w:basedOn w:val="CharStyle6"/>
    <w:rPr>
      <w:lang w:val="ru-RU"/>
      <w:b/>
      <w:bCs/>
      <w:i/>
      <w:iCs/>
      <w:sz w:val="20"/>
      <w:szCs w:val="20"/>
      <w:rFonts w:ascii="Book Antiqua" w:eastAsia="Book Antiqua" w:hAnsi="Book Antiqua" w:cs="Book Antiqua"/>
      <w:w w:val="100"/>
      <w:spacing w:val="-22"/>
      <w:color w:val="000000"/>
      <w:position w:val="0"/>
    </w:rPr>
  </w:style>
  <w:style w:type="character" w:customStyle="1" w:styleId="CharStyle23">
    <w:name w:val="Основной текст (3) + Интервал 0 pt"/>
    <w:basedOn w:val="CharStyle10"/>
    <w:rPr>
      <w:lang w:val="ru-RU"/>
      <w:w w:val="100"/>
      <w:spacing w:val="7"/>
      <w:color w:val="000000"/>
      <w:position w:val="0"/>
    </w:rPr>
  </w:style>
  <w:style w:type="character" w:customStyle="1" w:styleId="CharStyle24">
    <w:name w:val="Основной текст (11) + Полужирный,Интервал 0 pt"/>
    <w:basedOn w:val="CharStyle6"/>
    <w:rPr>
      <w:lang w:val="ru-RU"/>
      <w:b/>
      <w:bCs/>
      <w:w w:val="100"/>
      <w:spacing w:val="7"/>
      <w:color w:val="000000"/>
      <w:position w:val="0"/>
    </w:rPr>
  </w:style>
  <w:style w:type="character" w:customStyle="1" w:styleId="CharStyle25">
    <w:name w:val="Основной текст (11) + Book Antiqua,10 pt,Полужирный,Курсив,Интервал 0 pt"/>
    <w:basedOn w:val="CharStyle6"/>
    <w:rPr>
      <w:lang w:val="1024"/>
      <w:b/>
      <w:bCs/>
      <w:i/>
      <w:iCs/>
      <w:sz w:val="20"/>
      <w:szCs w:val="20"/>
      <w:rFonts w:ascii="Book Antiqua" w:eastAsia="Book Antiqua" w:hAnsi="Book Antiqua" w:cs="Book Antiqua"/>
      <w:w w:val="100"/>
      <w:spacing w:val="-10"/>
      <w:color w:val="000000"/>
      <w:position w:val="0"/>
    </w:rPr>
  </w:style>
  <w:style w:type="character" w:customStyle="1" w:styleId="CharStyle26">
    <w:name w:val="Основной текст (11) + Book Antiqua,10 pt,Полужирный,Курсив,Интервал 0 pt"/>
    <w:basedOn w:val="CharStyle6"/>
    <w:rPr>
      <w:lang w:val="ru-RU"/>
      <w:b/>
      <w:bCs/>
      <w:i/>
      <w:iCs/>
      <w:sz w:val="20"/>
      <w:szCs w:val="20"/>
      <w:rFonts w:ascii="Book Antiqua" w:eastAsia="Book Antiqua" w:hAnsi="Book Antiqua" w:cs="Book Antiqua"/>
      <w:w w:val="100"/>
      <w:spacing w:val="-10"/>
      <w:color w:val="000000"/>
      <w:position w:val="0"/>
    </w:rPr>
  </w:style>
  <w:style w:type="character" w:customStyle="1" w:styleId="CharStyle27">
    <w:name w:val="Основной текст (11)"/>
    <w:basedOn w:val="CharStyle6"/>
    <w:rPr>
      <w:lang w:val="1024"/>
      <w:w w:val="100"/>
      <w:color w:val="000000"/>
      <w:position w:val="0"/>
    </w:rPr>
  </w:style>
  <w:style w:type="character" w:customStyle="1" w:styleId="CharStyle29">
    <w:name w:val="Подпись к картинке (3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3">
    <w:name w:val="Основной текст (10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6"/>
    </w:rPr>
  </w:style>
  <w:style w:type="paragraph" w:customStyle="1" w:styleId="Style5">
    <w:name w:val="Основной текст (11)"/>
    <w:basedOn w:val="Normal"/>
    <w:link w:val="CharStyle6"/>
    <w:pPr>
      <w:widowControl w:val="0"/>
      <w:shd w:val="clear" w:color="auto" w:fill="FFFFFF"/>
      <w:jc w:val="both"/>
      <w:spacing w:before="420" w:line="317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7">
    <w:name w:val="Заголовок №3 (3)"/>
    <w:basedOn w:val="Normal"/>
    <w:link w:val="CharStyle8"/>
    <w:pPr>
      <w:widowControl w:val="0"/>
      <w:shd w:val="clear" w:color="auto" w:fill="FFFFFF"/>
      <w:jc w:val="both"/>
      <w:outlineLvl w:val="2"/>
      <w:spacing w:line="317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line="298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6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jc w:val="center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8">
    <w:name w:val="Подпись к картинке (3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